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29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trHeight w:val="460" w:hRule="atLeast"/>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trHeight w:val="240" w:hRule="atLeast"/>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trHeight w:val="220" w:hRule="atLeast"/>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trHeight w:val="240" w:hRule="atLeast"/>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trHeight w:val="60" w:hRule="atLeast"/>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rPr>
          <w:rFonts w:ascii="Arial" w:cs="Arial" w:eastAsia="Arial" w:hAnsi="Arial"/>
          <w:b w:val="1"/>
          <w:sz w:val="24"/>
          <w:szCs w:val="24"/>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w:t>
      <w:tab/>
      <w:t xml:space="preserve">                                           </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29 (Key Supplier Staff)</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2019-05-01T17:15:00Z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